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250" w:after="225"/>
        <w:outlineLvl w:val="0"/>
        <w:rPr>
          <w:rFonts w:ascii="Arial" w:hAnsi="Arial" w:eastAsia="Times New Roman" w:cs="Arial"/>
          <w:b/>
          <w:bCs/>
          <w:caps/>
          <w:color w:val="383838"/>
          <w:kern w:val="2"/>
          <w:sz w:val="48"/>
          <w:szCs w:val="48"/>
          <w:lang w:eastAsia="ru-RU"/>
        </w:rPr>
      </w:pPr>
      <w:r>
        <w:rPr>
          <w:rFonts w:eastAsia="Times New Roman" w:cs="Arial" w:ascii="Arial" w:hAnsi="Arial"/>
          <w:b/>
          <w:bCs/>
          <w:caps/>
          <w:color w:val="383838"/>
          <w:kern w:val="2"/>
          <w:sz w:val="48"/>
          <w:szCs w:val="48"/>
          <w:lang w:eastAsia="ru-RU"/>
        </w:rPr>
        <w:t>Категории граждан</w:t>
      </w:r>
    </w:p>
    <w:p>
      <w:pPr>
        <w:pStyle w:val="Normal"/>
        <w:numPr>
          <w:ilvl w:val="0"/>
          <w:numId w:val="0"/>
        </w:numPr>
        <w:spacing w:lineRule="auto" w:line="240" w:before="250" w:after="225"/>
        <w:jc w:val="center"/>
        <w:outlineLvl w:val="0"/>
        <w:rPr>
          <w:rFonts w:ascii="Arial" w:hAnsi="Arial" w:eastAsia="Times New Roman" w:cs="Arial"/>
          <w:b/>
          <w:bCs/>
          <w:caps/>
          <w:color w:val="383838"/>
          <w:kern w:val="2"/>
          <w:sz w:val="48"/>
          <w:szCs w:val="48"/>
          <w:lang w:eastAsia="ru-RU"/>
        </w:rPr>
      </w:pPr>
      <w:r>
        <w:rPr/>
        <w:drawing>
          <wp:inline distT="0" distB="0" distL="0" distR="0">
            <wp:extent cx="6170295" cy="1729740"/>
            <wp:effectExtent l="0" t="0" r="0" b="0"/>
            <wp:docPr id="1" name="Рисунок 1" descr="kat-g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kat-gr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295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pacing w:lineRule="auto" w:line="240" w:before="250" w:after="225"/>
        <w:jc w:val="center"/>
        <w:outlineLvl w:val="0"/>
        <w:rPr>
          <w:rFonts w:ascii="Arial" w:hAnsi="Arial" w:eastAsia="Times New Roman" w:cs="Arial"/>
          <w:b/>
          <w:bCs/>
          <w:caps/>
          <w:color w:val="383838"/>
          <w:kern w:val="2"/>
          <w:sz w:val="48"/>
          <w:szCs w:val="48"/>
          <w:lang w:eastAsia="ru-RU"/>
        </w:rPr>
      </w:pPr>
      <w:r>
        <w:rPr>
          <w:rFonts w:eastAsia="Times New Roman" w:cs="Arial" w:ascii="Arial" w:hAnsi="Arial"/>
          <w:b/>
          <w:bCs/>
          <w:caps/>
          <w:color w:val="00A650"/>
          <w:kern w:val="2"/>
          <w:sz w:val="28"/>
          <w:szCs w:val="28"/>
          <w:lang w:eastAsia="ru-RU"/>
        </w:rPr>
        <w:t>Право на получение всех видов бесплатной юридической помощи, предусмотренных законодательством, в рамках государственной системы бесплатной юридической помощи имеют следующие категории граждан: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1)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  <w:r>
        <w:rPr>
          <w:rFonts w:eastAsia="Times New Roman" w:cs="Arial" w:ascii="Arial" w:hAnsi="Arial"/>
          <w:color w:val="383838"/>
          <w:sz w:val="20"/>
          <w:szCs w:val="20"/>
          <w:lang w:eastAsia="ru-RU"/>
        </w:rPr>
        <w:br/>
      </w: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2) инвалиды I и II группы;</w:t>
      </w:r>
      <w:r>
        <w:rPr>
          <w:rFonts w:eastAsia="Times New Roman" w:cs="Arial" w:ascii="Arial" w:hAnsi="Arial"/>
          <w:color w:val="383838"/>
          <w:sz w:val="20"/>
          <w:szCs w:val="20"/>
          <w:lang w:eastAsia="ru-RU"/>
        </w:rPr>
        <w:br/>
      </w: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  <w:r>
        <w:rPr>
          <w:rFonts w:eastAsia="Times New Roman" w:cs="Arial" w:ascii="Arial" w:hAnsi="Arial"/>
          <w:color w:val="383838"/>
          <w:sz w:val="20"/>
          <w:szCs w:val="20"/>
          <w:lang w:eastAsia="ru-RU"/>
        </w:rPr>
        <w:br/>
      </w: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  <w:r>
        <w:rPr>
          <w:rFonts w:eastAsia="Times New Roman" w:cs="Arial" w:ascii="Arial" w:hAnsi="Arial"/>
          <w:color w:val="383838"/>
          <w:sz w:val="20"/>
          <w:szCs w:val="20"/>
          <w:lang w:eastAsia="ru-RU"/>
        </w:rPr>
        <w:br/>
        <w:br/>
      </w: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  <w:r>
        <w:rPr>
          <w:rFonts w:eastAsia="Times New Roman" w:cs="Arial" w:ascii="Arial" w:hAnsi="Arial"/>
          <w:color w:val="383838"/>
          <w:sz w:val="20"/>
          <w:szCs w:val="20"/>
          <w:lang w:eastAsia="ru-RU"/>
        </w:rPr>
        <w:br/>
      </w: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  <w:r>
        <w:rPr>
          <w:rFonts w:eastAsia="Times New Roman" w:cs="Arial" w:ascii="Arial" w:hAnsi="Arial"/>
          <w:color w:val="383838"/>
          <w:sz w:val="20"/>
          <w:szCs w:val="20"/>
          <w:lang w:eastAsia="ru-RU"/>
        </w:rPr>
        <w:br/>
      </w: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Действие п. 3.1 - 3.3 распространяется на правоотношения, возникшие с 24.02.2022 </w:t>
      </w:r>
      <w:r>
        <w:rPr>
          <w:rFonts w:eastAsia="Times New Roman" w:cs="Arial" w:ascii="Arial" w:hAnsi="Arial"/>
          <w:color w:val="383838"/>
          <w:sz w:val="20"/>
          <w:szCs w:val="20"/>
          <w:lang w:eastAsia="ru-RU"/>
        </w:rPr>
        <w:br/>
      </w: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  <w:r>
        <w:rPr>
          <w:rFonts w:eastAsia="Times New Roman" w:cs="Arial" w:ascii="Arial" w:hAnsi="Arial"/>
          <w:color w:val="383838"/>
          <w:sz w:val="20"/>
          <w:szCs w:val="20"/>
          <w:lang w:eastAsia="ru-RU"/>
        </w:rPr>
        <w:br/>
      </w: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  <w:r>
        <w:rPr>
          <w:rFonts w:eastAsia="Times New Roman" w:cs="Arial" w:ascii="Arial" w:hAnsi="Arial"/>
          <w:color w:val="383838"/>
          <w:sz w:val="20"/>
          <w:szCs w:val="20"/>
          <w:lang w:eastAsia="ru-RU"/>
        </w:rPr>
        <w:br/>
      </w: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  <w:r>
        <w:rPr>
          <w:rFonts w:eastAsia="Times New Roman" w:cs="Arial" w:ascii="Arial" w:hAnsi="Arial"/>
          <w:color w:val="383838"/>
          <w:sz w:val="20"/>
          <w:szCs w:val="20"/>
          <w:lang w:eastAsia="ru-RU"/>
        </w:rPr>
        <w:br/>
      </w: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  <w:r>
        <w:rPr>
          <w:rFonts w:eastAsia="Times New Roman" w:cs="Arial" w:ascii="Arial" w:hAnsi="Arial"/>
          <w:color w:val="383838"/>
          <w:sz w:val="20"/>
          <w:szCs w:val="20"/>
          <w:lang w:eastAsia="ru-RU"/>
        </w:rPr>
        <w:br/>
      </w: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r>
        <w:rPr>
          <w:rFonts w:eastAsia="Times New Roman" w:cs="Arial" w:ascii="Arial" w:hAnsi="Arial"/>
          <w:color w:val="383838"/>
          <w:sz w:val="20"/>
          <w:szCs w:val="20"/>
          <w:lang w:eastAsia="ru-RU"/>
        </w:rPr>
        <w:br/>
      </w: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7) граждане, имеющие право на бесплатную юридическую помощь в соответствии с Законом Российской Федерации от 2 июля 1992 года N 3185-1 "О психиатрической помощи и гарантиях прав граждан при ее оказании";</w:t>
      </w:r>
      <w:r>
        <w:rPr>
          <w:rFonts w:eastAsia="Times New Roman" w:cs="Arial" w:ascii="Arial" w:hAnsi="Arial"/>
          <w:color w:val="383838"/>
          <w:sz w:val="20"/>
          <w:szCs w:val="20"/>
          <w:lang w:eastAsia="ru-RU"/>
        </w:rPr>
        <w:br/>
      </w: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  <w:r>
        <w:rPr>
          <w:rFonts w:eastAsia="Times New Roman" w:cs="Arial" w:ascii="Arial" w:hAnsi="Arial"/>
          <w:color w:val="383838"/>
          <w:sz w:val="20"/>
          <w:szCs w:val="20"/>
          <w:lang w:eastAsia="ru-RU"/>
        </w:rPr>
        <w:br/>
      </w: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8.1) граждане, пострадавшие в результате чрезвычайной ситуации:</w:t>
      </w:r>
      <w:r>
        <w:rPr>
          <w:rFonts w:eastAsia="Times New Roman" w:cs="Arial" w:ascii="Arial" w:hAnsi="Arial"/>
          <w:color w:val="383838"/>
          <w:sz w:val="20"/>
          <w:szCs w:val="20"/>
          <w:lang w:eastAsia="ru-RU"/>
        </w:rPr>
        <w:br/>
      </w: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r>
        <w:rPr>
          <w:rFonts w:eastAsia="Times New Roman" w:cs="Arial" w:ascii="Arial" w:hAnsi="Arial"/>
          <w:color w:val="383838"/>
          <w:sz w:val="20"/>
          <w:szCs w:val="20"/>
          <w:lang w:eastAsia="ru-RU"/>
        </w:rPr>
        <w:br/>
      </w: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б) дети погибшего (умершего) в результате чрезвычайной ситуации;</w:t>
      </w:r>
      <w:r>
        <w:rPr>
          <w:rFonts w:eastAsia="Times New Roman" w:cs="Arial" w:ascii="Arial" w:hAnsi="Arial"/>
          <w:color w:val="383838"/>
          <w:sz w:val="20"/>
          <w:szCs w:val="20"/>
          <w:lang w:eastAsia="ru-RU"/>
        </w:rPr>
        <w:br/>
      </w: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в) родители погибшего (умершего) в результате чрезвычайной ситуации;</w:t>
      </w:r>
      <w:r>
        <w:rPr>
          <w:rFonts w:eastAsia="Times New Roman" w:cs="Arial" w:ascii="Arial" w:hAnsi="Arial"/>
          <w:color w:val="383838"/>
          <w:sz w:val="20"/>
          <w:szCs w:val="20"/>
          <w:lang w:eastAsia="ru-RU"/>
        </w:rPr>
        <w:br/>
      </w: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  <w:r>
        <w:rPr>
          <w:rFonts w:eastAsia="Times New Roman" w:cs="Arial" w:ascii="Arial" w:hAnsi="Arial"/>
          <w:color w:val="383838"/>
          <w:sz w:val="20"/>
          <w:szCs w:val="20"/>
          <w:lang w:eastAsia="ru-RU"/>
        </w:rPr>
        <w:br/>
      </w: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д) граждане, здоровью которых причинен вред в результате чрезвычайной ситуации;</w:t>
      </w:r>
      <w:r>
        <w:rPr>
          <w:rFonts w:eastAsia="Times New Roman" w:cs="Arial" w:ascii="Arial" w:hAnsi="Arial"/>
          <w:color w:val="383838"/>
          <w:sz w:val="20"/>
          <w:szCs w:val="20"/>
          <w:lang w:eastAsia="ru-RU"/>
        </w:rPr>
        <w:br/>
      </w: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  <w:r>
        <w:rPr>
          <w:rFonts w:eastAsia="Times New Roman" w:cs="Arial" w:ascii="Arial" w:hAnsi="Arial"/>
          <w:color w:val="383838"/>
          <w:sz w:val="20"/>
          <w:szCs w:val="20"/>
          <w:lang w:eastAsia="ru-RU"/>
        </w:rPr>
        <w:br/>
      </w:r>
      <w:r>
        <w:rPr>
          <w:rFonts w:eastAsia="Times New Roman" w:cs="Arial" w:ascii="Arial" w:hAnsi="Arial"/>
          <w:color w:val="383838"/>
          <w:sz w:val="27"/>
          <w:szCs w:val="27"/>
          <w:lang w:eastAsia="ru-RU"/>
        </w:rPr>
        <w:t>8.2) 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обучения;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3"/>
        <w:rPr>
          <w:rFonts w:ascii="Arial" w:hAnsi="Arial" w:eastAsia="Times New Roman" w:cs="Arial"/>
          <w:color w:val="383838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383838"/>
          <w:sz w:val="27"/>
          <w:szCs w:val="27"/>
          <w:lang w:eastAsia="ru-RU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 </w:t>
      </w:r>
    </w:p>
    <w:p>
      <w:pPr>
        <w:pStyle w:val="Normal"/>
        <w:numPr>
          <w:ilvl w:val="0"/>
          <w:numId w:val="0"/>
        </w:numPr>
        <w:spacing w:lineRule="auto" w:line="240" w:beforeAutospacing="1" w:after="188"/>
        <w:jc w:val="center"/>
        <w:outlineLvl w:val="3"/>
        <w:rPr>
          <w:rFonts w:ascii="Arial" w:hAnsi="Arial" w:eastAsia="Times New Roman" w:cs="Arial"/>
          <w:color w:val="383838"/>
          <w:sz w:val="27"/>
          <w:szCs w:val="27"/>
          <w:lang w:eastAsia="ru-RU"/>
        </w:rPr>
      </w:pPr>
      <w:r>
        <w:rPr>
          <w:rFonts w:eastAsia="Times New Roman" w:cs="Arial" w:ascii="Arial" w:hAnsi="Arial"/>
          <w:b/>
          <w:bCs/>
          <w:color w:val="383838"/>
          <w:sz w:val="28"/>
          <w:szCs w:val="28"/>
          <w:lang w:eastAsia="ru-RU"/>
        </w:rPr>
        <w:t>Кроме этого на территории Ленинградской области право на получение всех видов бесплатной юридической помощи в рамках государственной системы бесплатной юридической помощи дополнительно к перечню указанному выше предоставляется гражданам, проживающим на территории Ленинградской области, и гражданам без определенного места жительства, имевшим последнюю регистрацию по месту жительства в Ленинградской области, </w:t>
      </w:r>
      <w:r>
        <w:rPr>
          <w:rFonts w:eastAsia="Times New Roman" w:cs="Arial" w:ascii="Arial" w:hAnsi="Arial"/>
          <w:b/>
          <w:bCs/>
          <w:color w:val="383838"/>
          <w:sz w:val="28"/>
          <w:szCs w:val="28"/>
          <w:u w:val="single"/>
          <w:lang w:eastAsia="ru-RU"/>
        </w:rPr>
        <w:t>следующих категорий:</w:t>
      </w:r>
    </w:p>
    <w:p>
      <w:pPr>
        <w:pStyle w:val="Normal"/>
        <w:spacing w:lineRule="auto" w:line="240" w:before="109" w:after="17"/>
        <w:jc w:val="both"/>
        <w:rPr>
          <w:rFonts w:ascii="Arial" w:hAnsi="Arial" w:eastAsia="Times New Roman" w:cs="Arial"/>
          <w:color w:val="383838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1) граждане, среднедушевой доход семей которых ниже двукратной величины прожиточного минимума на душу населения, установленного Правительством Ленинградской области в соответствии с Федеральным законом от 24 октября 1997 года N 134-ФЗ "О прожиточном минимуме в Российской Федерации", а также одиноко проживающие граждане, доходы которых ниже указанной величины;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383838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2) инвалиды III группы;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383838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3) граждане старше 70 лет на дату обращения за получением бесплатной юридической помощи;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4) родители (приемные родители, усыновители (удочерители), имеющие ребенка (детей) в возрасте до трех лет на дату обращения за получением бесплатной юридической помощи;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5) беременные женщины;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 xml:space="preserve">6) </w:t>
      </w:r>
      <w:r>
        <w:rPr>
          <w:rFonts w:eastAsia="Times New Roman" w:cs="Arial" w:ascii="Arial" w:hAnsi="Arial"/>
          <w:color w:val="383838"/>
          <w:sz w:val="20"/>
          <w:szCs w:val="20"/>
          <w:lang w:eastAsia="ru-RU"/>
        </w:rPr>
        <w:t>утратил силу.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7) граждане, оказавшиеся (находящиеся) в трудной жизненной ситуации (в экстренных случаях, указанных в постановлении Правительства Ленинградской области);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8) реабилитированные лица и лица, признанные пострадавшими от политических репрессий;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9) граждане, признанные пострадавшими участниками долевого строительства в соответствии с областным законом от 27 декабря 2013 года N 107-оз "О поддержке пострадавших участников долевого строительства многоквартирных домов, расположенных на территории Ленинградской области";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10)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досрочно);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11) женщины, пострадавшие от любых форм насилия, в течение трех лет с момента совершения в отношении них насильственных действий;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12) ветераны боевых действий;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13) члены семей погибших (умерших) ветеранов боевых действий;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14) граждане, подвергшиеся воздействию радиации вследствие катастрофы на Чернобыльской АЭС, ядерных испытаний на Семипалатинском полигоне, аварии в 1957 году на производственном объединении "Маяк" и сбросов радиоактивных отходов в реку Теча, а также граждане, отнесенные в соответствии с </w:t>
      </w:r>
      <w:hyperlink r:id="rId3">
        <w:r>
          <w:rPr>
            <w:rFonts w:eastAsia="Times New Roman" w:cs="Arial" w:ascii="Arial" w:hAnsi="Arial"/>
            <w:color w:val="2A830F"/>
            <w:sz w:val="26"/>
            <w:u w:val="single"/>
            <w:lang w:eastAsia="ru-RU"/>
          </w:rPr>
          <w:t>Постановлением</w:t>
        </w:r>
      </w:hyperlink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 Верховного Совета Российской Федерации от 27 декабря 1991 года N 2123-1 "О распространении действия Закона РСФСР "О социальной защите граждан, подвергшихся воздействию радиации </w:t>
      </w:r>
      <w:r>
        <w:rPr>
          <w:rFonts w:eastAsia="Times New Roman" w:cs="Arial" w:ascii="Arial" w:hAnsi="Arial"/>
          <w:color w:val="383838"/>
          <w:sz w:val="24"/>
          <w:szCs w:val="24"/>
          <w:lang w:eastAsia="ru-RU"/>
        </w:rPr>
        <w:t>вследствие катастрофы на Чернобыльской АЭС" на граждан из подразделений особого риска" к категории граждан из подразделений особого риска;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15) граждане, фактически проживающие на территории Ленинградской области, но не имеющие регистрации по месту жительства или месту пребывания на территории Ленинградской области;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16) лица, освобожденные из мест лишения свободы, в течение шести месяцев со дня их освобождения.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7555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720f45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720f45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semiHidden/>
    <w:unhideWhenUsed/>
    <w:rsid w:val="00720f45"/>
    <w:rPr>
      <w:color w:val="0000FF"/>
      <w:u w:val="single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720f45"/>
    <w:rPr>
      <w:rFonts w:ascii="Tahoma" w:hAnsi="Tahoma" w:cs="Tahoma"/>
      <w:sz w:val="16"/>
      <w:szCs w:val="16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720f4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720f4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ogin.consultant.ru/link/?req=doc&amp;base=LAW&amp;n=181977&amp;date=20.11.2024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LibreOffice/7.5.3.2$Linux_X86_64 LibreOffice_project/50$Build-2</Application>
  <AppVersion>15.0000</AppVersion>
  <Pages>4</Pages>
  <Words>1211</Words>
  <Characters>8520</Characters>
  <CharactersWithSpaces>9713</CharactersWithSpaces>
  <Paragraphs>22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2025-04-10T08:08:00Z</dcterms:created>
  <dc:creator>User</dc:creator>
  <dc:description/>
  <dc:language>ru-RU</dc:language>
  <cp:lastModifiedBy/>
  <dcterms:modified xsi:type="dcterms:W3CDTF">2025-06-25T11:50:28Z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